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Heading1"/>
      </w:pPr>
      <w:r>
        <w:t>Dienstanweisung Homeoffice / Telearbeit</w:t>
      </w:r>
    </w:p>
    <w:p>
      <w:r/>
      <w:r>
        <w:rPr>
          <w:b/>
        </w:rPr>
        <w:t>Ausgabedatum:</w:t>
      </w:r>
      <w:r>
        <w:t xml:space="preserve"> 30.06.2024</w:t>
      </w:r>
      <w:r>
        <w:br/>
      </w:r>
      <w:r/>
      <w:r>
        <w:rPr>
          <w:b/>
        </w:rPr>
        <w:t>Gültig ab:</w:t>
      </w:r>
      <w:r>
        <w:t xml:space="preserve"> 01.07.2024</w:t>
      </w:r>
      <w:r>
        <w:br/>
      </w:r>
      <w:r/>
      <w:r>
        <w:rPr>
          <w:b/>
        </w:rPr>
        <w:t>Für:</w:t>
      </w:r>
      <w:r>
        <w:t xml:space="preserve"> Landkreis Rotenburg (Wümme)</w:t>
      </w:r>
    </w:p>
    <w:p>
      <w:pPr>
        <w:pBdr>
          <w:bottom w:val="single" w:sz="6" w:space="1" w:color="auto"/>
        </w:pBdr>
      </w:pPr>
    </w:p>
    <w:p>
      <w:pPr>
        <w:pStyle w:val="Heading2"/>
      </w:pPr>
      <w:r>
        <w:t>1. Geltungsbereich</w:t>
      </w:r>
    </w:p>
    <w:p>
      <w:r>
        <w:t>Diese Dienstanweisung gilt für alle Beschäftigten im Landkreis Rotenburg (Wümme). Sie umfasst sowohl die planmäßige teilweise ortsunabhängige Arbeit als auch die temporäre dienstliche Tätigkeit außerhalb der Dienststätten.</w:t>
      </w:r>
    </w:p>
    <w:p>
      <w:pPr>
        <w:pStyle w:val="Heading2"/>
      </w:pPr>
      <w:r>
        <w:t>2. Zweck</w:t>
      </w:r>
    </w:p>
    <w:p>
      <w:r>
        <w:t>Die Dienstanweisung schafft einen verbindlichen Ordnungsrahmen für flexible Arbeitsformen. Sie dient der Vereinbarung von Dienstinteressen und individuellen Lebenslagen unter Beibehaltung angemessener Steuerungs- und Überwachungsmöglichkeiten für die Führungskräfte.</w:t>
      </w:r>
    </w:p>
    <w:p>
      <w:pPr>
        <w:pStyle w:val="Heading2"/>
      </w:pPr>
      <w:r>
        <w:t>3. Begriffsbestimmungen</w:t>
      </w:r>
    </w:p>
    <w:p>
      <w:r/>
      <w:r>
        <w:rPr>
          <w:b/>
        </w:rPr>
        <w:t>(1) Telearbeit</w:t>
      </w:r>
      <w:r>
        <w:t xml:space="preserve"> ist die planmäßige, schriftlich vereinbarte Arbeit der Beschäftigten an einem vom Dienstgeber dauerhaft oder regelmäßig zur Verfügung gestellten Arbeitsplatz außerhalb der Dienststätte. Der Arbeitsplatz kann im privaten Haushalt der Beschäftigten oder an einem vom Dienstgeber definierten ortsflexiblen Arbeitsplatz eingerichtet sein.</w:t>
      </w:r>
    </w:p>
    <w:p>
      <w:r/>
      <w:r>
        <w:rPr>
          <w:b/>
        </w:rPr>
        <w:t>(2) Homeoffice</w:t>
      </w:r>
      <w:r>
        <w:t xml:space="preserve"> ist die dienstlich genehmigte, zeitlich begrenzte Ausübung dienstlicher Aufgaben an einem vom Beschäftigten selbst eingerichteten Arbeitsplatz außerhalb der Dienststätte. Homeoffice ist eine eigenständige Arbeitsform neben der Telearbeit und der Präsenzarbeit. Es kann sowohl regelmäßig als auch situativ eingesetzt werden.</w:t>
      </w:r>
    </w:p>
    <w:p>
      <w:r/>
      <w:r>
        <w:rPr>
          <w:b/>
        </w:rPr>
        <w:t>(3) Mobiles Arbeiten</w:t>
      </w:r>
      <w:r>
        <w:t xml:space="preserve"> bezeichnet die zeitlich befristete Erledigung dienstlicher Aufgaben an wechselnden Orten ohne festen Arbeitsplatz.</w:t>
      </w:r>
    </w:p>
    <w:p>
      <w:pPr>
        <w:pStyle w:val="Heading2"/>
      </w:pPr>
      <w:r>
        <w:t>4. Zuständigkeiten und Antragsverfahren</w:t>
      </w:r>
    </w:p>
    <w:p>
      <w:r/>
      <w:r>
        <w:rPr>
          <w:b/>
        </w:rPr>
        <w:t>(1) Antragsstellung Telearbeit</w:t>
      </w:r>
      <w:r/>
    </w:p>
    <w:p>
      <w:r>
        <w:t>Die planmäßige Telearbeit erfordert eine schriftliche Telearbeitsvereinbarung zwischen der oder dem Beschäftigten und dem Dienstgeber. Der Antrag ist über die entsprechende Führungskraft an die Amtsleitung oder Dezernatsleitung zu leiten. Die Antragstellung soll mindestens vier Wochen vor dem beabsichtigten Beginn erfolgen. Die Entscheidung wird innerhalb von zwei Wochen schriftlich mitgeteilt. Eine Ablehnung ist zu begründen.</w:t>
      </w:r>
    </w:p>
    <w:p>
      <w:r/>
      <w:r>
        <w:rPr>
          <w:b/>
        </w:rPr>
        <w:t>(2) Antragsstellung Homeoffice</w:t>
      </w:r>
      <w:r/>
    </w:p>
    <w:p>
      <w:r>
        <w:t>Die Erbringung von Homeoffice bedarf einer schriftlichen oder elektronischen Genehmigung durch die unmittelbare Führungskraft. Der Antrag ist über das interne Antragsportal einzureichen und muss mindestens folgende Angaben enthalten:</w:t>
      </w:r>
    </w:p>
    <w:p>
      <w:pPr>
        <w:pStyle w:val="ListBullet"/>
        <w:numPr>
          <w:ilvl w:val="0"/>
          <w:numId w:val="1"/>
        </w:numPr>
      </w:pPr>
      <w:r>
        <w:t>Gewünschte Homeoffice-Tage pro Woche</w:t>
      </w:r>
    </w:p>
    <w:p>
      <w:pPr>
        <w:pStyle w:val="ListBullet"/>
        <w:numPr>
          <w:ilvl w:val="0"/>
          <w:numId w:val="1"/>
        </w:numPr>
      </w:pPr>
      <w:r>
        <w:t>Vorgesehene Arbeitszeiten am Homeoffice-Tag</w:t>
      </w:r>
    </w:p>
    <w:p>
      <w:pPr>
        <w:pStyle w:val="ListBullet"/>
        <w:numPr>
          <w:ilvl w:val="0"/>
          <w:numId w:val="1"/>
        </w:numPr>
      </w:pPr>
      <w:r>
        <w:t>Angabe des privaten Arbeitsraums</w:t>
      </w:r>
    </w:p>
    <w:p>
      <w:pPr>
        <w:pStyle w:val="ListBullet"/>
        <w:numPr>
          <w:ilvl w:val="0"/>
          <w:numId w:val="1"/>
        </w:numPr>
      </w:pPr>
      <w:r>
        <w:t>Bestätigung der technischen Voraussetzungen</w:t>
      </w:r>
    </w:p>
    <w:p>
      <w:pPr>
        <w:pStyle w:val="ListBullet"/>
        <w:numPr>
          <w:ilvl w:val="0"/>
          <w:numId w:val="1"/>
        </w:numPr>
      </w:pPr>
      <w:r>
        <w:t>Angabe der regelmäßig auszuführenden Aufgaben</w:t>
      </w:r>
    </w:p>
    <w:p>
      <w:r>
        <w:t>Besondere Regelungen gelten für:</w:t>
      </w:r>
    </w:p>
    <w:p>
      <w:pPr>
        <w:pStyle w:val="ListBullet"/>
        <w:numPr>
          <w:ilvl w:val="0"/>
          <w:numId w:val="1"/>
        </w:numPr>
      </w:pPr>
      <w:r/>
      <w:r>
        <w:rPr>
          <w:b/>
        </w:rPr>
        <w:t>Ad-hoc-Homeoffice:</w:t>
      </w:r>
      <w:r>
        <w:t xml:space="preserve"> Bei vorübergehenden Hindernissen (z. B. Wartungstermine, Kindbetreuung) kann die Genehmigung mündlich oder per Kurznachricht erteilt werden. Eine nachträgliche Eintragung im Antragsportal ist bis spätestens zum Folgetag vorzunehmen.</w:t>
      </w:r>
    </w:p>
    <w:p>
      <w:pPr>
        <w:pStyle w:val="ListBullet"/>
        <w:numPr>
          <w:ilvl w:val="0"/>
          <w:numId w:val="1"/>
        </w:numPr>
      </w:pPr>
      <w:r/>
      <w:r>
        <w:rPr>
          <w:b/>
        </w:rPr>
        <w:t>Regelmäßiges Homeoffice:</w:t>
      </w:r>
      <w:r>
        <w:t xml:space="preserve"> Bei einer beanspruchten Quote von mehr als 40 Prozent der vereinbarten Arbeitszeit ist die Abstimmung mit der Personalabteilung erforderlich.</w:t>
      </w:r>
    </w:p>
    <w:p>
      <w:pPr>
        <w:pStyle w:val="ListBullet"/>
        <w:numPr>
          <w:ilvl w:val="0"/>
          <w:numId w:val="1"/>
        </w:numPr>
      </w:pPr>
      <w:r/>
      <w:r>
        <w:rPr>
          <w:b/>
        </w:rPr>
        <w:t>Vollem Homeoffice:</w:t>
      </w:r>
      <w:r>
        <w:t xml:space="preserve"> Beschäftigte mit ausschließlicher Homeoffice-Tätigkeit unterliegen der vorherigen Zustimmung durch den Dezernatsleiter bzw. die Dezernatsleiterin und bedürfen einer spezifischen Vereinbarung mit dem Personalbereich.</w:t>
      </w:r>
    </w:p>
    <w:p>
      <w:r/>
      <w:r>
        <w:rPr>
          <w:b/>
        </w:rPr>
        <w:t>(3) Entscheidung</w:t>
      </w:r>
      <w:r/>
    </w:p>
    <w:p>
      <w:r>
        <w:t>Führungskräfte (AL, Dez.) prüfen Anträge unter Berücksichtigung:</w:t>
      </w:r>
    </w:p>
    <w:p>
      <w:pPr>
        <w:pStyle w:val="ListBullet"/>
        <w:numPr>
          <w:ilvl w:val="0"/>
          <w:numId w:val="1"/>
        </w:numPr>
      </w:pPr>
      <w:r>
        <w:t>der dienstlichen Erfordernisse und Verfügbarkeit</w:t>
      </w:r>
    </w:p>
    <w:p>
      <w:pPr>
        <w:pStyle w:val="ListBullet"/>
        <w:numPr>
          <w:ilvl w:val="0"/>
          <w:numId w:val="1"/>
        </w:numPr>
      </w:pPr>
      <w:r>
        <w:t>der eingetretenen betrieblichen Übung bei bereits gewährten Homeoffice-Regelungen</w:t>
      </w:r>
    </w:p>
    <w:p>
      <w:pPr>
        <w:pStyle w:val="ListBullet"/>
        <w:numPr>
          <w:ilvl w:val="0"/>
          <w:numId w:val="1"/>
        </w:numPr>
      </w:pPr>
      <w:r>
        <w:t>der Gleichbehandlung innerhalb des Arbeitsbereichs</w:t>
      </w:r>
    </w:p>
    <w:p>
      <w:pPr>
        <w:pStyle w:val="ListBullet"/>
        <w:numPr>
          <w:ilvl w:val="0"/>
          <w:numId w:val="1"/>
        </w:numPr>
      </w:pPr>
      <w:r>
        <w:t>der notwendigen Präsenzzeiten für Besprechungen, Sprechstunden oder andere dienstliche Zusammenkünfte</w:t>
      </w:r>
    </w:p>
    <w:p>
      <w:r>
        <w:t>Die Entscheidung ist dem Antragsteller bzw. der Antragstellerin unverzüglich, spätestens jedoch innerhalb von zehn Arbeitstagen nach Eingang des vollständigen Antrags, mitzuteilen. Eine Ablehnung erfordert eine Begründung und Hinweise auf Rechtsbehelfsmöglichkeiten.</w:t>
      </w:r>
    </w:p>
    <w:p>
      <w:r/>
      <w:r>
        <w:rPr>
          <w:b/>
        </w:rPr>
        <w:t>(4) Widerruf und Änderung</w:t>
      </w:r>
      <w:r/>
    </w:p>
    <w:p>
      <w:r>
        <w:t>Genehmigungen zum Homeoffice können aus dienstlichen Gründen mit einer Frist von vier Wochen widerrufen oder geändert werden. Bei unvorhersehbaren dienstlichen Anforderungen kann die Frist verkürzt werden, soweit dies unter Abwägung der Interessen zumutbar ist.</w:t>
      </w:r>
    </w:p>
    <w:p>
      <w:pPr>
        <w:pStyle w:val="Heading2"/>
      </w:pPr>
      <w:r>
        <w:t>5. Arbeitsvoraussetzungen</w:t>
      </w:r>
    </w:p>
    <w:p>
      <w:r/>
      <w:r>
        <w:rPr>
          <w:b/>
        </w:rPr>
        <w:t>(1)</w:t>
      </w:r>
      <w:r>
        <w:t xml:space="preserve"> Die technische Grundausstattung für Telearbeit und Homeoffice umfasst einen mobilen oder stationären Rechner, die erforderliche Standardsoftware sowie nach Bedarf weitere Dienstmittel, die durch die IT-Abteilung zur Verfügung gestellt oder zugelassen werden.</w:t>
      </w:r>
    </w:p>
    <w:p>
      <w:r/>
      <w:r>
        <w:rPr>
          <w:b/>
        </w:rPr>
        <w:t>(2)</w:t>
      </w:r>
      <w:r>
        <w:t xml:space="preserve"> Der Internetzugang wird durch den Landkreis über eine gesicherte VPN-Verbindung bereitgestellt. Alternativ kann bei konsistentem Sicherheitsstandard ein genehmigter Heimanschluss verwendet werden.</w:t>
      </w:r>
    </w:p>
    <w:p>
      <w:r/>
      <w:r>
        <w:rPr>
          <w:b/>
        </w:rPr>
        <w:t>(3)</w:t>
      </w:r>
      <w:r>
        <w:t xml:space="preserve"> Der Arbeitsplatz im Homeoffice ist so einzurichten, dass er den Anforderungen des Arbeitsschutzes und der ergonomischen Gestaltung in einem dem Dienstarbeitsplatz vergleichbaren Umfang genügt. Die Führungskraft kann bei vermuteten Mängeln eine Besichtigung des Arbeitsplatzes veranlassen.</w:t>
      </w:r>
    </w:p>
    <w:p>
      <w:pPr>
        <w:pStyle w:val="Heading2"/>
      </w:pPr>
      <w:r>
        <w:t>6. Arbeitszeit und Verfügbarkeit</w:t>
      </w:r>
    </w:p>
    <w:p>
      <w:r/>
      <w:r>
        <w:rPr>
          <w:b/>
        </w:rPr>
        <w:t>(1)</w:t>
      </w:r>
      <w:r>
        <w:t xml:space="preserve"> Die Arbeitszeit bei Telearbeit und Homeoffice richtet sich nach dem individuellen Arbeitszeitplan, soweit nichts anderes vereinbart ist. Kernarbeitszeiten sind im Homeoffice einzuhalten, sofern dies abgestimmt wurde.</w:t>
      </w:r>
    </w:p>
    <w:p>
      <w:r/>
      <w:r>
        <w:rPr>
          <w:b/>
        </w:rPr>
        <w:t>(2)</w:t>
      </w:r>
      <w:r>
        <w:t xml:space="preserve"> Beschäftigte sind während der vereinbarten Arbeitszeiten auf den üblichen dienstlichen Kanälen (Telefon, E-Mail, Messenger) erreichbar. Die Reaktionszeit auf dienstliche Anfragen beträgt maximal vier Stunden während der Kernarbeitszeit.</w:t>
      </w:r>
    </w:p>
    <w:p>
      <w:pPr>
        <w:pStyle w:val="Heading2"/>
      </w:pPr>
      <w:r>
        <w:t>7. Vertraulichkeit, Datenschutz und Informationssicherheit</w:t>
      </w:r>
    </w:p>
    <w:p>
      <w:r/>
      <w:r>
        <w:rPr>
          <w:b/>
        </w:rPr>
        <w:t>(1)</w:t>
      </w:r>
      <w:r>
        <w:t xml:space="preserve"> Dienstliche Informationen sind entsprechend ihrer Vertraulichkeitsstufe zu behandeln. Vertrauliche und streng vertrauliche Informationen dürfen nur in einem gegen unbefugten Zugang gesicherten Arbeitsbereich bearbeitet werden. Papierdokumente sind bei Nichtbenutzung und während der Nachtruhe in verschlossenen Behältnissen aufzubewahren.</w:t>
      </w:r>
    </w:p>
    <w:p>
      <w:r/>
      <w:r>
        <w:rPr>
          <w:b/>
        </w:rPr>
        <w:t>(2)</w:t>
      </w:r>
      <w:r>
        <w:t xml:space="preserve"> Die Nutzung privater Endgeräte für dienstliche Zwecke („Bring Your Own Device“) ist nicht zulässig. Ausnahmen können von der IT-Abteilung in schriftlicher Einzelfallgenehmigung unter definierten Sicherheitsanforderungen zugelassen werden.</w:t>
      </w:r>
    </w:p>
    <w:p>
      <w:pPr>
        <w:pStyle w:val="Heading2"/>
      </w:pPr>
      <w:r>
        <w:t>8. Mitwirkungspflichten, Kontrolle und Dokumentation</w:t>
      </w:r>
    </w:p>
    <w:p>
      <w:r/>
      <w:r>
        <w:rPr>
          <w:b/>
        </w:rPr>
        <w:t>(1)</w:t>
      </w:r>
      <w:r>
        <w:t xml:space="preserve"> Beschäftigte im Homeoffice protokollieren ihre Arbeitszeit nach den geltenden Arbeitszeitregelungen des Landkreises. Abweichend von der reinen Präsenzarbeit ist bei Homeoffice-Tätigkeiten die tatsächliche Arbeitszeit gesondert zu erfassen und der Führungskraft auf Anforderung nachzuweisen.</w:t>
      </w:r>
    </w:p>
    <w:p>
      <w:r/>
      <w:r>
        <w:rPr>
          <w:b/>
        </w:rPr>
        <w:t>(2)</w:t>
      </w:r>
      <w:r>
        <w:t xml:space="preserve"> Führungskräfte führen mindestens vierteljährlich Gespräche mit im Homeoffice tätigen Beschäftigten zur Arbeitssteuerung, Zielerreichung und Problembewältigung. Die Ergebnisse sind in geeigneter Form zu dokumentieren.</w:t>
      </w:r>
    </w:p>
    <w:p>
      <w:pPr>
        <w:pStyle w:val="Heading2"/>
      </w:pPr>
      <w:r>
        <w:t>9. Unfallversicherung und Arbeitsschutz</w:t>
      </w:r>
    </w:p>
    <w:p>
      <w:r/>
      <w:r>
        <w:rPr>
          <w:b/>
        </w:rPr>
        <w:t>(1)</w:t>
      </w:r>
      <w:r>
        <w:t xml:space="preserve"> Der gesetzliche Unfallversicherungsschutz für Telearbeit besteht während der festgelegten Arbeitszeiten am vereinbarten Telearbeitsplatz sowie auf dem unmittelbaren Weg dorthin.</w:t>
      </w:r>
    </w:p>
    <w:p>
      <w:r/>
      <w:r>
        <w:rPr>
          <w:b/>
        </w:rPr>
        <w:t>(2)</w:t>
      </w:r>
      <w:r>
        <w:t xml:space="preserve"> Für Homeoffice gilt der Unfallversicherungsschutz während der vereinbarten Arbeitszeiten am genehmigten Arbeitsplatz sowie auf dem direkten Hin- und Rückweg zur Dienststätte, sofern dieser nicht durch private Zwecke unterbrochen wird.</w:t>
      </w:r>
    </w:p>
    <w:p>
      <w:r/>
      <w:r>
        <w:rPr>
          <w:b/>
        </w:rPr>
        <w:t>(3)</w:t>
      </w:r>
      <w:r>
        <w:t xml:space="preserve"> Schadensfälle sind unverzüglich der für den Arbeitsbereich zuständigen Führungskraft und der Personalabteilung anzuzeigen.</w:t>
      </w:r>
    </w:p>
    <w:p>
      <w:pPr>
        <w:pStyle w:val="Heading2"/>
      </w:pPr>
      <w:r>
        <w:t>10. Gültigkeit und Überprüfung</w:t>
      </w:r>
    </w:p>
    <w:p>
      <w:r>
        <w:t>Diese Dienstanweisung tritt mit Wirkung vom 01.07.2024 in Kraft und ist bis zum 30.06.2027 befristet. Überprüfung und Fortschreibung erfolgen zwei Jahre nach Inkrafttreten oder bei bedeutsamen Änderungen der Rechtslage.</w:t>
      </w:r>
    </w:p>
    <w:p>
      <w:pPr>
        <w:pBdr>
          <w:bottom w:val="single" w:sz="6" w:space="1" w:color="auto"/>
        </w:pBdr>
      </w:pPr>
    </w:p>
    <w:p>
      <w:r/>
      <w:r>
        <w:rPr>
          <w:b/>
        </w:rPr>
        <w:t>Stephen M. Hanes</w:t>
      </w:r>
      <w:r/>
      <w:r>
        <w:br/>
      </w:r>
      <w:r>
        <w:t>Leiter 5.60</w:t>
      </w:r>
      <w:r>
        <w:br/>
      </w:r>
      <w:r>
        <w:t>Abteilung Organisation &amp; Personal</w:t>
      </w:r>
    </w:p>
    <w:sectPr w:rsidR="005A337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30961690">
    <w:abstractNumId w:val="8"/>
  </w:num>
  <w:num w:numId="2" w16cid:durableId="733889861">
    <w:abstractNumId w:val="6"/>
  </w:num>
  <w:num w:numId="3" w16cid:durableId="1015300673">
    <w:abstractNumId w:val="5"/>
  </w:num>
  <w:num w:numId="4" w16cid:durableId="2030792088">
    <w:abstractNumId w:val="4"/>
  </w:num>
  <w:num w:numId="5" w16cid:durableId="159935027">
    <w:abstractNumId w:val="7"/>
  </w:num>
  <w:num w:numId="6" w16cid:durableId="2065374234">
    <w:abstractNumId w:val="3"/>
  </w:num>
  <w:num w:numId="7" w16cid:durableId="1906187093">
    <w:abstractNumId w:val="2"/>
  </w:num>
  <w:num w:numId="8" w16cid:durableId="134184899">
    <w:abstractNumId w:val="1"/>
  </w:num>
  <w:num w:numId="9" w16cid:durableId="200234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A337A"/>
    <w:rsid w:val="009E3D60"/>
    <w:rsid w:val="00AA1D8D"/>
    <w:rsid w:val="00AB64DB"/>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4909E"/>
  <w14:defaultImageDpi w14:val="300"/>
  <w15:docId w15:val="{21CC0492-E146-4AB7-B29F-59B306D4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B"/>
  </w:style>
  <w:style w:type="paragraph" w:styleId="Heading1">
    <w:name w:val="heading 1"/>
    <w:basedOn w:val="Normal"/>
    <w:next w:val="Normal"/>
    <w:link w:val="Heading1Char"/>
    <w:uiPriority w:val="9"/>
    <w:qFormat/>
    <w:rsid w:val="00AB64DB"/>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AB64DB"/>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AB64DB"/>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AB64DB"/>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AB64DB"/>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AB64DB"/>
    <w:pPr>
      <w:keepNext/>
      <w:keepLines/>
      <w:spacing w:before="40" w:after="0"/>
      <w:outlineLvl w:val="5"/>
    </w:pPr>
  </w:style>
  <w:style w:type="paragraph" w:styleId="Heading7">
    <w:name w:val="heading 7"/>
    <w:basedOn w:val="Normal"/>
    <w:next w:val="Normal"/>
    <w:link w:val="Heading7Char"/>
    <w:uiPriority w:val="9"/>
    <w:semiHidden/>
    <w:unhideWhenUsed/>
    <w:qFormat/>
    <w:rsid w:val="00AB64DB"/>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B64DB"/>
    <w:pPr>
      <w:keepNext/>
      <w:keepLines/>
      <w:spacing w:before="40" w:after="0"/>
      <w:outlineLvl w:val="7"/>
    </w:pPr>
    <w:rPr>
      <w:color w:val="262626" w:themeColor="text1" w:themeTint="D9"/>
      <w:sz w:val="21"/>
      <w:szCs w:val="21"/>
    </w:rPr>
  </w:style>
  <w:style w:type="paragraph" w:styleId="Heading9">
    <w:name w:val="heading 9"/>
    <w:basedOn w:val="Normal"/>
    <w:next w:val="Normal"/>
    <w:link w:val="Heading9Char"/>
    <w:uiPriority w:val="9"/>
    <w:semiHidden/>
    <w:unhideWhenUsed/>
    <w:qFormat/>
    <w:rsid w:val="00AB64D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AB64DB"/>
    <w:pPr>
      <w:spacing w:after="0" w:line="240" w:lineRule="auto"/>
    </w:pPr>
  </w:style>
  <w:style w:type="character" w:customStyle="1" w:styleId="Heading1Char">
    <w:name w:val="Heading 1 Char"/>
    <w:basedOn w:val="DefaultParagraphFont"/>
    <w:link w:val="Heading1"/>
    <w:uiPriority w:val="9"/>
    <w:rsid w:val="00AB64DB"/>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AB64DB"/>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AB64DB"/>
    <w:rPr>
      <w:rFonts w:asciiTheme="majorHAnsi" w:eastAsiaTheme="majorEastAsia" w:hAnsiTheme="majorHAnsi" w:cstheme="majorBidi"/>
      <w:color w:val="0D0D0D" w:themeColor="text1" w:themeTint="F2"/>
      <w:sz w:val="24"/>
      <w:szCs w:val="24"/>
    </w:rPr>
  </w:style>
  <w:style w:type="paragraph" w:styleId="Title">
    <w:name w:val="Title"/>
    <w:basedOn w:val="Normal"/>
    <w:next w:val="Normal"/>
    <w:link w:val="TitleChar"/>
    <w:uiPriority w:val="10"/>
    <w:qFormat/>
    <w:rsid w:val="00AB64DB"/>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AB64DB"/>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AB64DB"/>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AB64DB"/>
    <w:rPr>
      <w:color w:val="5A5A5A" w:themeColor="text1" w:themeTint="A5"/>
      <w:spacing w:val="15"/>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AB64DB"/>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AB64DB"/>
    <w:rPr>
      <w:i/>
      <w:iCs/>
      <w:color w:val="404040" w:themeColor="text1" w:themeTint="BF"/>
    </w:rPr>
  </w:style>
  <w:style w:type="character" w:customStyle="1" w:styleId="Heading4Char">
    <w:name w:val="Heading 4 Char"/>
    <w:basedOn w:val="DefaultParagraphFont"/>
    <w:link w:val="Heading4"/>
    <w:uiPriority w:val="9"/>
    <w:semiHidden/>
    <w:rsid w:val="00AB64DB"/>
    <w:rPr>
      <w:i/>
      <w:iCs/>
    </w:rPr>
  </w:style>
  <w:style w:type="character" w:customStyle="1" w:styleId="Heading5Char">
    <w:name w:val="Heading 5 Char"/>
    <w:basedOn w:val="DefaultParagraphFont"/>
    <w:link w:val="Heading5"/>
    <w:uiPriority w:val="9"/>
    <w:semiHidden/>
    <w:rsid w:val="00AB64DB"/>
    <w:rPr>
      <w:color w:val="404040" w:themeColor="text1" w:themeTint="BF"/>
    </w:rPr>
  </w:style>
  <w:style w:type="character" w:customStyle="1" w:styleId="Heading6Char">
    <w:name w:val="Heading 6 Char"/>
    <w:basedOn w:val="DefaultParagraphFont"/>
    <w:link w:val="Heading6"/>
    <w:uiPriority w:val="9"/>
    <w:semiHidden/>
    <w:rsid w:val="00AB64DB"/>
  </w:style>
  <w:style w:type="character" w:customStyle="1" w:styleId="Heading7Char">
    <w:name w:val="Heading 7 Char"/>
    <w:basedOn w:val="DefaultParagraphFont"/>
    <w:link w:val="Heading7"/>
    <w:uiPriority w:val="9"/>
    <w:semiHidden/>
    <w:rsid w:val="00AB64DB"/>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B64DB"/>
    <w:rPr>
      <w:color w:val="262626" w:themeColor="text1" w:themeTint="D9"/>
      <w:sz w:val="21"/>
      <w:szCs w:val="21"/>
    </w:rPr>
  </w:style>
  <w:style w:type="character" w:customStyle="1" w:styleId="Heading9Char">
    <w:name w:val="Heading 9 Char"/>
    <w:basedOn w:val="DefaultParagraphFont"/>
    <w:link w:val="Heading9"/>
    <w:uiPriority w:val="9"/>
    <w:semiHidden/>
    <w:rsid w:val="00AB64DB"/>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AB64DB"/>
    <w:pPr>
      <w:spacing w:after="200" w:line="240" w:lineRule="auto"/>
    </w:pPr>
    <w:rPr>
      <w:i/>
      <w:iCs/>
      <w:color w:val="1F497D" w:themeColor="text2"/>
      <w:sz w:val="18"/>
      <w:szCs w:val="18"/>
    </w:rPr>
  </w:style>
  <w:style w:type="character" w:styleId="Strong">
    <w:name w:val="Strong"/>
    <w:basedOn w:val="DefaultParagraphFont"/>
    <w:uiPriority w:val="22"/>
    <w:qFormat/>
    <w:rsid w:val="00AB64DB"/>
    <w:rPr>
      <w:b/>
      <w:bCs/>
      <w:color w:val="auto"/>
    </w:rPr>
  </w:style>
  <w:style w:type="character" w:styleId="Emphasis">
    <w:name w:val="Emphasis"/>
    <w:basedOn w:val="DefaultParagraphFont"/>
    <w:uiPriority w:val="20"/>
    <w:qFormat/>
    <w:rsid w:val="00AB64DB"/>
    <w:rPr>
      <w:i/>
      <w:iCs/>
      <w:color w:val="auto"/>
    </w:rPr>
  </w:style>
  <w:style w:type="paragraph" w:styleId="IntenseQuote">
    <w:name w:val="Intense Quote"/>
    <w:basedOn w:val="Normal"/>
    <w:next w:val="Normal"/>
    <w:link w:val="IntenseQuoteChar"/>
    <w:uiPriority w:val="30"/>
    <w:qFormat/>
    <w:rsid w:val="00AB64DB"/>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AB64DB"/>
    <w:rPr>
      <w:i/>
      <w:iCs/>
      <w:color w:val="404040" w:themeColor="text1" w:themeTint="BF"/>
    </w:rPr>
  </w:style>
  <w:style w:type="character" w:styleId="SubtleEmphasis">
    <w:name w:val="Subtle Emphasis"/>
    <w:basedOn w:val="DefaultParagraphFont"/>
    <w:uiPriority w:val="19"/>
    <w:qFormat/>
    <w:rsid w:val="00AB64DB"/>
    <w:rPr>
      <w:i/>
      <w:iCs/>
      <w:color w:val="404040" w:themeColor="text1" w:themeTint="BF"/>
    </w:rPr>
  </w:style>
  <w:style w:type="character" w:styleId="IntenseEmphasis">
    <w:name w:val="Intense Emphasis"/>
    <w:basedOn w:val="DefaultParagraphFont"/>
    <w:uiPriority w:val="21"/>
    <w:qFormat/>
    <w:rsid w:val="00AB64DB"/>
    <w:rPr>
      <w:b/>
      <w:bCs/>
      <w:i/>
      <w:iCs/>
      <w:color w:val="auto"/>
    </w:rPr>
  </w:style>
  <w:style w:type="character" w:styleId="SubtleReference">
    <w:name w:val="Subtle Reference"/>
    <w:basedOn w:val="DefaultParagraphFont"/>
    <w:uiPriority w:val="31"/>
    <w:qFormat/>
    <w:rsid w:val="00AB64DB"/>
    <w:rPr>
      <w:smallCaps/>
      <w:color w:val="404040" w:themeColor="text1" w:themeTint="BF"/>
    </w:rPr>
  </w:style>
  <w:style w:type="character" w:styleId="IntenseReference">
    <w:name w:val="Intense Reference"/>
    <w:basedOn w:val="DefaultParagraphFont"/>
    <w:uiPriority w:val="32"/>
    <w:qFormat/>
    <w:rsid w:val="00AB64DB"/>
    <w:rPr>
      <w:b/>
      <w:bCs/>
      <w:smallCaps/>
      <w:color w:val="404040" w:themeColor="text1" w:themeTint="BF"/>
      <w:spacing w:val="5"/>
    </w:rPr>
  </w:style>
  <w:style w:type="character" w:styleId="BookTitle">
    <w:name w:val="Book Title"/>
    <w:basedOn w:val="DefaultParagraphFont"/>
    <w:uiPriority w:val="33"/>
    <w:qFormat/>
    <w:rsid w:val="00AB64DB"/>
    <w:rPr>
      <w:b/>
      <w:bCs/>
      <w:i/>
      <w:iCs/>
      <w:spacing w:val="5"/>
    </w:rPr>
  </w:style>
  <w:style w:type="paragraph" w:styleId="TOCHeading">
    <w:name w:val="TOC Heading"/>
    <w:basedOn w:val="Heading1"/>
    <w:next w:val="Normal"/>
    <w:uiPriority w:val="39"/>
    <w:semiHidden/>
    <w:unhideWhenUsed/>
    <w:qFormat/>
    <w:rsid w:val="00AB64DB"/>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Santiago Martinez-Avial</cp:lastModifiedBy>
  <cp:revision>2</cp:revision>
  <dcterms:created xsi:type="dcterms:W3CDTF">2013-12-23T23:15:00Z</dcterms:created>
  <dcterms:modified xsi:type="dcterms:W3CDTF">2026-04-14T02:44:00Z</dcterms:modified>
  <cp:category/>
</cp:coreProperties>
</file>